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AD" w:rsidRPr="00916B54" w:rsidRDefault="00547CAD" w:rsidP="00E81DF1">
      <w:pPr>
        <w:pStyle w:val="Sinespaciado"/>
        <w:rPr>
          <w:rFonts w:ascii="Bookman Old Style" w:hAnsi="Bookman Old Style"/>
        </w:rPr>
      </w:pPr>
      <w:r w:rsidRPr="00916B54">
        <w:rPr>
          <w:rFonts w:ascii="Bookman Old Style" w:hAnsi="Bookman Old Style"/>
        </w:rPr>
        <w:t xml:space="preserve">TEXTO APROBADO EN PRIMER DEBATE EN SESIÓN ORDINARIA DE LA COMISIÓN QUINTA CONSTITUCIONAL PERMANENTE DE LA </w:t>
      </w:r>
      <w:r w:rsidR="00C917AB" w:rsidRPr="00916B54">
        <w:rPr>
          <w:rFonts w:ascii="Bookman Old Style" w:hAnsi="Bookman Old Style"/>
        </w:rPr>
        <w:t>CÁMARA DE</w:t>
      </w:r>
      <w:r w:rsidRPr="00916B54">
        <w:rPr>
          <w:rFonts w:ascii="Bookman Old Style" w:hAnsi="Bookman Old Style"/>
        </w:rPr>
        <w:t xml:space="preserve"> REPRESENTANTES </w:t>
      </w:r>
      <w:r w:rsidR="00C9294C" w:rsidRPr="00916B54">
        <w:rPr>
          <w:rFonts w:ascii="Bookman Old Style" w:hAnsi="Bookman Old Style"/>
        </w:rPr>
        <w:t>E</w:t>
      </w:r>
      <w:r w:rsidR="003D6953" w:rsidRPr="00916B54">
        <w:rPr>
          <w:rFonts w:ascii="Bookman Old Style" w:hAnsi="Bookman Old Style"/>
        </w:rPr>
        <w:t>L</w:t>
      </w:r>
      <w:r w:rsidR="00172FE3" w:rsidRPr="00916B54">
        <w:rPr>
          <w:rFonts w:ascii="Bookman Old Style" w:hAnsi="Bookman Old Style"/>
        </w:rPr>
        <w:t xml:space="preserve"> </w:t>
      </w:r>
      <w:r w:rsidRPr="00916B54">
        <w:rPr>
          <w:rFonts w:ascii="Bookman Old Style" w:hAnsi="Bookman Old Style"/>
        </w:rPr>
        <w:t>DÍA</w:t>
      </w:r>
      <w:r w:rsidR="00C9294C" w:rsidRPr="00916B54">
        <w:rPr>
          <w:rFonts w:ascii="Bookman Old Style" w:hAnsi="Bookman Old Style"/>
        </w:rPr>
        <w:t xml:space="preserve"> </w:t>
      </w:r>
      <w:r w:rsidR="00265888" w:rsidRPr="00916B54">
        <w:rPr>
          <w:rFonts w:ascii="Bookman Old Style" w:hAnsi="Bookman Old Style"/>
        </w:rPr>
        <w:t>4</w:t>
      </w:r>
      <w:r w:rsidR="00C9294C" w:rsidRPr="00916B54">
        <w:rPr>
          <w:rFonts w:ascii="Bookman Old Style" w:hAnsi="Bookman Old Style"/>
        </w:rPr>
        <w:t xml:space="preserve"> DE </w:t>
      </w:r>
      <w:r w:rsidR="00295CC4" w:rsidRPr="00916B54">
        <w:rPr>
          <w:rFonts w:ascii="Bookman Old Style" w:hAnsi="Bookman Old Style"/>
        </w:rPr>
        <w:t>DICIEMBRE</w:t>
      </w:r>
      <w:r w:rsidR="00C9294C" w:rsidRPr="00916B54">
        <w:rPr>
          <w:rFonts w:ascii="Bookman Old Style" w:hAnsi="Bookman Old Style"/>
        </w:rPr>
        <w:t xml:space="preserve"> DE 2024</w:t>
      </w:r>
      <w:r w:rsidRPr="00916B54">
        <w:rPr>
          <w:rFonts w:ascii="Bookman Old Style" w:hAnsi="Bookman Old Style"/>
        </w:rPr>
        <w:t>.</w:t>
      </w:r>
    </w:p>
    <w:p w:rsidR="00172FE3" w:rsidRPr="00916B54" w:rsidRDefault="00172FE3" w:rsidP="00E81DF1">
      <w:pPr>
        <w:pStyle w:val="Sinespaciado"/>
        <w:rPr>
          <w:rFonts w:ascii="Bookman Old Style" w:eastAsia="Times" w:hAnsi="Bookman Old Style" w:cs="Times"/>
          <w:b/>
        </w:rPr>
      </w:pPr>
    </w:p>
    <w:p w:rsidR="00536848" w:rsidRPr="00916B54" w:rsidRDefault="00536848" w:rsidP="008936DF">
      <w:pPr>
        <w:pStyle w:val="Sinespaciado"/>
        <w:jc w:val="center"/>
        <w:rPr>
          <w:rFonts w:ascii="Bookman Old Style" w:eastAsia="Times" w:hAnsi="Bookman Old Style" w:cs="Times"/>
          <w:lang w:val="es-ES"/>
        </w:rPr>
      </w:pPr>
      <w:r w:rsidRPr="00916B54">
        <w:rPr>
          <w:rFonts w:ascii="Bookman Old Style" w:eastAsia="Times" w:hAnsi="Bookman Old Style" w:cs="Times"/>
          <w:lang w:val="es-ES"/>
        </w:rPr>
        <w:t>Proyec</w:t>
      </w:r>
      <w:bookmarkStart w:id="0" w:name="_GoBack"/>
      <w:bookmarkEnd w:id="0"/>
      <w:r w:rsidRPr="00916B54">
        <w:rPr>
          <w:rFonts w:ascii="Bookman Old Style" w:eastAsia="Times" w:hAnsi="Bookman Old Style" w:cs="Times"/>
          <w:lang w:val="es-ES"/>
        </w:rPr>
        <w:t xml:space="preserve">to de Ley </w:t>
      </w:r>
      <w:r w:rsidR="00265888" w:rsidRPr="00916B54">
        <w:rPr>
          <w:rFonts w:ascii="Bookman Old Style" w:eastAsia="Times" w:hAnsi="Bookman Old Style" w:cs="Times"/>
          <w:lang w:val="es-ES"/>
        </w:rPr>
        <w:t>385</w:t>
      </w:r>
      <w:r w:rsidRPr="00916B54">
        <w:rPr>
          <w:rFonts w:ascii="Bookman Old Style" w:eastAsia="Times" w:hAnsi="Bookman Old Style" w:cs="Times"/>
          <w:lang w:val="es-ES"/>
        </w:rPr>
        <w:t xml:space="preserve"> de 2024 Cámara.</w:t>
      </w:r>
    </w:p>
    <w:p w:rsidR="00536848" w:rsidRPr="00916B54" w:rsidRDefault="00536848" w:rsidP="00E81DF1">
      <w:pPr>
        <w:pStyle w:val="Sinespaciado"/>
        <w:rPr>
          <w:rFonts w:ascii="Bookman Old Style" w:eastAsia="Times" w:hAnsi="Bookman Old Style" w:cs="Times"/>
          <w:b/>
          <w:lang w:val="es-ES"/>
        </w:rPr>
      </w:pPr>
    </w:p>
    <w:p w:rsidR="00E81DF1" w:rsidRPr="00916B54" w:rsidRDefault="00E81DF1" w:rsidP="00E81DF1">
      <w:pPr>
        <w:pStyle w:val="Sinespaciado"/>
        <w:jc w:val="center"/>
        <w:rPr>
          <w:rFonts w:ascii="Bookman Old Style" w:eastAsia="Aptos" w:hAnsi="Bookman Old Style" w:cs="Times New Roman"/>
          <w:b/>
          <w:bCs/>
          <w:kern w:val="2"/>
          <w:lang w:val="es-MX"/>
          <w14:ligatures w14:val="standardContextual"/>
        </w:rPr>
      </w:pPr>
      <w:r w:rsidRPr="00916B54">
        <w:rPr>
          <w:rFonts w:ascii="Bookman Old Style" w:eastAsia="Aptos" w:hAnsi="Bookman Old Style" w:cs="Times New Roman"/>
          <w:b/>
          <w:bCs/>
          <w:kern w:val="2"/>
          <w:lang w:val="es-MX"/>
          <w14:ligatures w14:val="standardContextual"/>
        </w:rPr>
        <w:t xml:space="preserve">“POR MEDIO DE LA CUAL SE DECLARA LA ZONA BIOGEOGRÁFICA DE LA </w:t>
      </w:r>
      <w:proofErr w:type="spellStart"/>
      <w:r w:rsidRPr="00916B54">
        <w:rPr>
          <w:rFonts w:ascii="Bookman Old Style" w:eastAsia="Aptos" w:hAnsi="Bookman Old Style" w:cs="Times New Roman"/>
          <w:b/>
          <w:bCs/>
          <w:kern w:val="2"/>
          <w:lang w:val="es-MX"/>
          <w14:ligatures w14:val="standardContextual"/>
        </w:rPr>
        <w:t>MOJANA</w:t>
      </w:r>
      <w:proofErr w:type="spellEnd"/>
      <w:r w:rsidRPr="00916B54">
        <w:rPr>
          <w:rFonts w:ascii="Bookman Old Style" w:eastAsia="Aptos" w:hAnsi="Bookman Old Style" w:cs="Times New Roman"/>
          <w:b/>
          <w:bCs/>
          <w:kern w:val="2"/>
          <w:lang w:val="es-MX"/>
          <w14:ligatures w14:val="standardContextual"/>
        </w:rPr>
        <w:t>, SUS ECOSISTEMA Y HÁBITATS COMO SUJETOS DE DERECHOS Y SE DICTAN OTRAS DISPOSICIONES”</w:t>
      </w:r>
    </w:p>
    <w:p w:rsidR="00E81DF1" w:rsidRPr="00916B54" w:rsidRDefault="00E81DF1" w:rsidP="00E81DF1">
      <w:pPr>
        <w:pStyle w:val="Sinespaciado"/>
        <w:rPr>
          <w:rFonts w:ascii="Bookman Old Style" w:eastAsia="Aptos" w:hAnsi="Bookman Old Style" w:cs="Times New Roman"/>
          <w:b/>
          <w:bCs/>
          <w:kern w:val="2"/>
          <w:lang w:val="es-MX"/>
          <w14:ligatures w14:val="standardContextual"/>
        </w:rPr>
      </w:pPr>
    </w:p>
    <w:p w:rsidR="00E81DF1" w:rsidRPr="00916B54" w:rsidRDefault="00E81DF1" w:rsidP="00E81DF1">
      <w:pPr>
        <w:pStyle w:val="Sinespaciado"/>
        <w:jc w:val="center"/>
        <w:rPr>
          <w:rFonts w:ascii="Bookman Old Style" w:eastAsia="Aptos" w:hAnsi="Bookman Old Style" w:cs="Times New Roman"/>
          <w:b/>
          <w:bCs/>
          <w:kern w:val="2"/>
          <w:lang w:val="es-MX"/>
          <w14:ligatures w14:val="standardContextual"/>
        </w:rPr>
      </w:pPr>
      <w:r w:rsidRPr="00916B54">
        <w:rPr>
          <w:rFonts w:ascii="Bookman Old Style" w:eastAsia="Aptos" w:hAnsi="Bookman Old Style" w:cs="Times New Roman"/>
          <w:b/>
          <w:bCs/>
          <w:kern w:val="2"/>
          <w:lang w:val="es-MX"/>
          <w14:ligatures w14:val="standardContextual"/>
        </w:rPr>
        <w:t>EL CONGRESO DE COLOMBIA</w:t>
      </w:r>
    </w:p>
    <w:p w:rsidR="00E81DF1" w:rsidRPr="00916B54" w:rsidRDefault="00E81DF1" w:rsidP="00E81DF1">
      <w:pPr>
        <w:pStyle w:val="Sinespaciado"/>
        <w:jc w:val="center"/>
        <w:rPr>
          <w:rFonts w:ascii="Bookman Old Style" w:eastAsia="Aptos" w:hAnsi="Bookman Old Style" w:cs="Times New Roman"/>
          <w:b/>
          <w:bCs/>
          <w:kern w:val="2"/>
          <w:lang w:val="es-MX"/>
          <w14:ligatures w14:val="standardContextual"/>
        </w:rPr>
      </w:pPr>
    </w:p>
    <w:p w:rsidR="00E81DF1" w:rsidRPr="00916B54" w:rsidRDefault="00E81DF1" w:rsidP="00E81DF1">
      <w:pPr>
        <w:pStyle w:val="Sinespaciado"/>
        <w:jc w:val="center"/>
        <w:rPr>
          <w:rFonts w:ascii="Bookman Old Style" w:eastAsia="Aptos" w:hAnsi="Bookman Old Style" w:cs="Times New Roman"/>
          <w:b/>
          <w:bCs/>
          <w:kern w:val="2"/>
          <w:lang w:val="es-MX"/>
          <w14:ligatures w14:val="standardContextual"/>
        </w:rPr>
      </w:pPr>
      <w:r w:rsidRPr="00916B54">
        <w:rPr>
          <w:rFonts w:ascii="Bookman Old Style" w:eastAsia="Aptos" w:hAnsi="Bookman Old Style" w:cs="Times New Roman"/>
          <w:b/>
          <w:bCs/>
          <w:kern w:val="2"/>
          <w:lang w:val="es-MX"/>
          <w14:ligatures w14:val="standardContextual"/>
        </w:rPr>
        <w:t>DECRETA</w:t>
      </w:r>
    </w:p>
    <w:p w:rsidR="00E81DF1" w:rsidRPr="00916B54" w:rsidRDefault="00E81DF1"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Artículo 1º. Objeto.</w:t>
      </w:r>
      <w:r w:rsidRPr="00916B54">
        <w:rPr>
          <w:rFonts w:ascii="Bookman Old Style" w:eastAsia="Arial Narrow" w:hAnsi="Bookman Old Style" w:cs="Arial Narrow"/>
          <w:kern w:val="2"/>
          <w14:ligatures w14:val="standardContextual"/>
        </w:rPr>
        <w:t xml:space="preserve"> La presente Ley tiene por objeto declarar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sus ecosistema y hábitats como sujetos de derechos con el fin de diseñar e implementar medidas de protección, mantenimiento, conservación, rehabilitación y restauración a cargo del Estado. </w:t>
      </w:r>
    </w:p>
    <w:p w:rsidR="00E81DF1" w:rsidRPr="00916B54" w:rsidRDefault="00E81DF1" w:rsidP="00E81DF1">
      <w:pPr>
        <w:pStyle w:val="Sinespaciado"/>
        <w:rPr>
          <w:rFonts w:ascii="Bookman Old Style" w:eastAsia="Arial Narrow" w:hAnsi="Bookman Old Style" w:cs="Arial Narrow"/>
          <w:b/>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kern w:val="2"/>
          <w14:ligatures w14:val="standardContextual"/>
        </w:rPr>
        <w:t>Parágrafo.</w:t>
      </w:r>
      <w:r w:rsidRPr="00916B54">
        <w:rPr>
          <w:rFonts w:ascii="Bookman Old Style" w:eastAsia="Arial Narrow" w:hAnsi="Bookman Old Style" w:cs="Arial Narrow"/>
          <w:kern w:val="2"/>
          <w14:ligatures w14:val="standardContextual"/>
        </w:rPr>
        <w:t xml:space="preserve"> La presente declaratoria contará con la efectiva participación de las comunidades que habitan en el área de influencia. </w:t>
      </w:r>
    </w:p>
    <w:p w:rsidR="00E81DF1" w:rsidRPr="00916B54" w:rsidRDefault="00E81DF1"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Artículo 2.</w:t>
      </w:r>
      <w:r w:rsidRPr="00916B54">
        <w:rPr>
          <w:rFonts w:ascii="Bookman Old Style" w:eastAsia="Arial Narrow" w:hAnsi="Bookman Old Style" w:cs="Arial Narrow"/>
          <w:kern w:val="2"/>
          <w14:ligatures w14:val="standardContextual"/>
        </w:rPr>
        <w:t xml:space="preserve"> </w:t>
      </w:r>
      <w:r w:rsidRPr="00916B54">
        <w:rPr>
          <w:rFonts w:ascii="Bookman Old Style" w:eastAsia="Arial Narrow" w:hAnsi="Bookman Old Style" w:cs="Arial Narrow"/>
          <w:b/>
          <w:kern w:val="2"/>
          <w14:ligatures w14:val="standardContextual"/>
        </w:rPr>
        <w:t xml:space="preserve">Comisión intersectorial de Guardianes de la </w:t>
      </w:r>
      <w:proofErr w:type="spellStart"/>
      <w:r w:rsidRPr="00916B54">
        <w:rPr>
          <w:rFonts w:ascii="Bookman Old Style" w:eastAsia="Arial Narrow" w:hAnsi="Bookman Old Style" w:cs="Arial Narrow"/>
          <w:b/>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El Gobierno Nacional en cabeza del Ministerio de Ambiente y Desarrollo Sostenible invitará dentro de los seis (6) meses siguientes a la entrada en vigencia de la presente ley, a los siguientes actores para que definan la conformación de la Comisión Intersectorial de Guardianes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la cual estará conformada por: </w:t>
      </w:r>
    </w:p>
    <w:p w:rsidR="00E81DF1" w:rsidRPr="00916B54" w:rsidRDefault="00E81DF1"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El Ministro(a) de Ambiente y Desarrollo Sostenible o su delegado(a).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El Ministro(a) de Agricultura y Desarrollo Rural o su delegado(a)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Ministro(a) de Vivienda, Ciudad y Territorio o su delegado.</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Ministro(a) de Minas y Energía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Gobernador(a) del departamento de Sucre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Gobernador(a) del departamento de Bolívar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Gobernador(a) del departamento de Antioquia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Gobernador(a) del departamento de Córdoba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Director(a) de la Unidad de Gestión del Riesgo o su delegado(a)</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Un representante del Fondo de Adaptación del Ministerio de Hacienda y Crédito Público.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Los directores de las Corporaciones Autónomas Regionales de los departamentos de Bolívar, Sucre, Córdoba y Antioquia o sus delegados (as)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lastRenderedPageBreak/>
        <w:t xml:space="preserve">Los alcaldes(as) de los municipios que se encuentran en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Un(a) representante las comunidades indígenas que ejercen derechos territoriales en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Un(a) representante por cada municipio de las comunidades negras, afrocolombianas, raizales y </w:t>
      </w:r>
      <w:proofErr w:type="spellStart"/>
      <w:r w:rsidRPr="00916B54">
        <w:rPr>
          <w:rFonts w:ascii="Bookman Old Style" w:eastAsia="Arial Narrow" w:hAnsi="Bookman Old Style" w:cs="Arial Narrow"/>
          <w:kern w:val="2"/>
          <w14:ligatures w14:val="standardContextual"/>
        </w:rPr>
        <w:t>palenqueras</w:t>
      </w:r>
      <w:proofErr w:type="spellEnd"/>
      <w:r w:rsidRPr="00916B54">
        <w:rPr>
          <w:rFonts w:ascii="Bookman Old Style" w:eastAsia="Arial Narrow" w:hAnsi="Bookman Old Style" w:cs="Arial Narrow"/>
          <w:kern w:val="2"/>
          <w14:ligatures w14:val="standardContextual"/>
        </w:rPr>
        <w:t xml:space="preserve"> que ejercen derechos territoriales en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Un(a) representante por cada municipio de las comunidades campesinas que habitan en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Un representante del sector privado delegado por la Asociación Nacional de Empresarios de Colombia (</w:t>
      </w:r>
      <w:proofErr w:type="spellStart"/>
      <w:r w:rsidRPr="00916B54">
        <w:rPr>
          <w:rFonts w:ascii="Bookman Old Style" w:eastAsia="Arial Narrow" w:hAnsi="Bookman Old Style" w:cs="Arial Narrow"/>
          <w:kern w:val="2"/>
          <w14:ligatures w14:val="standardContextual"/>
        </w:rPr>
        <w:t>ANDI</w:t>
      </w:r>
      <w:proofErr w:type="spellEnd"/>
      <w:r w:rsidRPr="00916B54">
        <w:rPr>
          <w:rFonts w:ascii="Bookman Old Style" w:eastAsia="Arial Narrow" w:hAnsi="Bookman Old Style" w:cs="Arial Narrow"/>
          <w:kern w:val="2"/>
          <w14:ligatures w14:val="standardContextual"/>
        </w:rPr>
        <w:t>)</w:t>
      </w:r>
    </w:p>
    <w:p w:rsidR="00E81DF1" w:rsidRPr="00916B54" w:rsidRDefault="00E81DF1"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La Comisión Intersectorial de Guardianes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designará un equipo asesor que podrá estar conformado por todas las entidades públicas y privadas, universidades nacionales y regionales, centros académicos y de investigación en recursos naturales y organizaciones nacionales e internacionales de la sociedad civil especialistas en temas ambientales con el fin de que rindan conceptos acerca de las mejores estrategias para proteger, mantener, conservar, rehabilitar y restaurar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w:t>
      </w:r>
    </w:p>
    <w:p w:rsidR="00E81DF1" w:rsidRPr="00916B54" w:rsidRDefault="00E81DF1"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Parágrafo 1.</w:t>
      </w:r>
      <w:r w:rsidRPr="00916B54">
        <w:rPr>
          <w:rFonts w:ascii="Bookman Old Style" w:eastAsia="Arial Narrow" w:hAnsi="Bookman Old Style" w:cs="Arial Narrow"/>
          <w:kern w:val="2"/>
          <w14:ligatures w14:val="standardContextual"/>
        </w:rPr>
        <w:t xml:space="preserve"> Para la elección de los representantes de las comunidades de los que tratan los numerales 13, 14, y 15</w:t>
      </w:r>
      <w:r w:rsidRPr="00916B54">
        <w:rPr>
          <w:rFonts w:ascii="Bookman Old Style" w:eastAsia="Arial Narrow" w:hAnsi="Bookman Old Style" w:cs="Arial Narrow"/>
          <w:b/>
          <w:kern w:val="2"/>
          <w14:ligatures w14:val="standardContextual"/>
        </w:rPr>
        <w:t xml:space="preserve"> </w:t>
      </w:r>
      <w:r w:rsidRPr="00916B54">
        <w:rPr>
          <w:rFonts w:ascii="Bookman Old Style" w:eastAsia="Arial Narrow" w:hAnsi="Bookman Old Style" w:cs="Arial Narrow"/>
          <w:kern w:val="2"/>
          <w14:ligatures w14:val="standardContextual"/>
        </w:rPr>
        <w:t>del presente artículo, serán elegidos de conformidad con las instancias organizativas que estas tengan.</w:t>
      </w:r>
    </w:p>
    <w:p w:rsidR="00E81DF1" w:rsidRPr="00916B54" w:rsidRDefault="00E81DF1"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Parágrafo 2.</w:t>
      </w:r>
      <w:r w:rsidRPr="00916B54">
        <w:rPr>
          <w:rFonts w:ascii="Bookman Old Style" w:eastAsia="Arial Narrow" w:hAnsi="Bookman Old Style" w:cs="Arial Narrow"/>
          <w:kern w:val="2"/>
          <w14:ligatures w14:val="standardContextual"/>
        </w:rPr>
        <w:t xml:space="preserve"> El Ministerio de Ambiente y Desarrollo Sostenible y las Corporaciones Autónomas Regionales de los departamentos de Bolívar, Sucre, Córdoba y Antioquia, en conjunto con las comunidades que habitan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en un plazo no mayor a tres (3) meses luego de la entrada en vigencia de la presente ley definirán el reglamento para la conformación de la Comisión intersectorial de Guardianes de la </w:t>
      </w:r>
      <w:proofErr w:type="spellStart"/>
      <w:r w:rsidRPr="00916B54">
        <w:rPr>
          <w:rFonts w:ascii="Bookman Old Style" w:eastAsia="Arial Narrow" w:hAnsi="Bookman Old Style" w:cs="Arial Narrow"/>
          <w:kern w:val="2"/>
          <w14:ligatures w14:val="standardContextual"/>
        </w:rPr>
        <w:t>Mojana</w:t>
      </w:r>
      <w:proofErr w:type="spellEnd"/>
    </w:p>
    <w:p w:rsidR="00916B54" w:rsidRPr="00916B54" w:rsidRDefault="00916B54"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 xml:space="preserve">Artículo 3. Plan de Acción para la protección y salvaguarda de la </w:t>
      </w:r>
      <w:proofErr w:type="spellStart"/>
      <w:r w:rsidRPr="00916B54">
        <w:rPr>
          <w:rFonts w:ascii="Bookman Old Style" w:eastAsia="Arial Narrow" w:hAnsi="Bookman Old Style" w:cs="Arial Narrow"/>
          <w:b/>
          <w:bCs/>
          <w:kern w:val="2"/>
          <w14:ligatures w14:val="standardContextual"/>
        </w:rPr>
        <w:t>Mojana</w:t>
      </w:r>
      <w:proofErr w:type="spellEnd"/>
      <w:r w:rsidRPr="00916B54">
        <w:rPr>
          <w:rFonts w:ascii="Bookman Old Style" w:eastAsia="Arial Narrow" w:hAnsi="Bookman Old Style" w:cs="Arial Narrow"/>
          <w:b/>
          <w:bCs/>
          <w:kern w:val="2"/>
          <w14:ligatures w14:val="standardContextual"/>
        </w:rPr>
        <w:t xml:space="preserve">. </w:t>
      </w:r>
      <w:r w:rsidRPr="00916B54">
        <w:rPr>
          <w:rFonts w:ascii="Bookman Old Style" w:eastAsia="Arial Narrow" w:hAnsi="Bookman Old Style" w:cs="Arial Narrow"/>
          <w:bCs/>
          <w:kern w:val="2"/>
          <w14:ligatures w14:val="standardContextual"/>
        </w:rPr>
        <w:t xml:space="preserve">La </w:t>
      </w:r>
      <w:r w:rsidRPr="00916B54">
        <w:rPr>
          <w:rFonts w:ascii="Bookman Old Style" w:eastAsia="Arial Narrow" w:hAnsi="Bookman Old Style" w:cs="Arial Narrow"/>
          <w:kern w:val="2"/>
          <w14:ligatures w14:val="standardContextual"/>
        </w:rPr>
        <w:t xml:space="preserve">Comisión Intersectorial de Guardianes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y el equipo asesor designado elaborarán un Plan de Acción para la protección y salvaguarda de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sus ecosistema y hábitats que establezca medidas eficaces de descontaminación, conservación y protección de las aguas y los territorios de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916B54" w:rsidRPr="00916B54" w:rsidRDefault="00916B54"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El plan también tendrá que contener diagnósticos y rutas de acción institucional que permitan; recuperar, rehabilitar y restaurar sus ecosistemas, así como prevenir posibles daños al ambiente en la región, garantizando el goce pacífico y </w:t>
      </w:r>
      <w:r w:rsidRPr="00916B54">
        <w:rPr>
          <w:rFonts w:ascii="Bookman Old Style" w:eastAsia="Arial Narrow" w:hAnsi="Bookman Old Style" w:cs="Arial Narrow"/>
          <w:kern w:val="2"/>
          <w14:ligatures w14:val="standardContextual"/>
        </w:rPr>
        <w:lastRenderedPageBreak/>
        <w:t xml:space="preserve">equilibrado de los derechos de todos los actores que integran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916B54" w:rsidRPr="00916B54" w:rsidRDefault="00916B54"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El Plan de Acción incluirá indicadores que permitan medir su eficacia y determinará las entidades responsables de cada acción establecida, de acuerdo con las funciones legales de cada institución.</w:t>
      </w:r>
    </w:p>
    <w:p w:rsidR="00916B54" w:rsidRPr="00916B54" w:rsidRDefault="00916B54"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La elaboración y ejecución del Plan de Acción será financiado por el Ministerio de Ambiente y Desarrollo Sostenible, los departamentos de Bolívar, Sucre, Córdoba y Antioquia, así como las respectivas Corporaciones Autónomas Regionales. </w:t>
      </w:r>
    </w:p>
    <w:p w:rsidR="00E81DF1" w:rsidRPr="00916B54" w:rsidRDefault="00E81DF1"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Parágrafo 1.</w:t>
      </w:r>
      <w:r w:rsidRPr="00916B54">
        <w:rPr>
          <w:rFonts w:ascii="Bookman Old Style" w:eastAsia="Arial Narrow" w:hAnsi="Bookman Old Style" w:cs="Arial Narrow"/>
          <w:kern w:val="2"/>
          <w14:ligatures w14:val="standardContextual"/>
        </w:rPr>
        <w:t xml:space="preserve"> El Plan de Acción tendrá una vigencia de 10 años y será actualizado acorde a las disposiciones de renovación correspondiente.</w:t>
      </w:r>
    </w:p>
    <w:p w:rsidR="00E81DF1" w:rsidRPr="00916B54" w:rsidRDefault="00E81DF1"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Parágrafo 2.</w:t>
      </w:r>
      <w:r w:rsidRPr="00916B54">
        <w:rPr>
          <w:rFonts w:ascii="Bookman Old Style" w:eastAsia="Arial Narrow" w:hAnsi="Bookman Old Style" w:cs="Arial Narrow"/>
          <w:kern w:val="2"/>
          <w14:ligatures w14:val="standardContextual"/>
        </w:rPr>
        <w:t xml:space="preserve"> El Ministerio de Ambiente y Desarrollo Sostenible, las Gobernaciones y las respectivas Corporaciones Autónomas Regionales de los departamentos de Bolívar, Sucre, Córdoba y Antioquia presentaran un informe anual de la ejecución del Plan de Acción que detalle su implementación y nivel de avance a las Asambleas Departamentales respectivas. </w:t>
      </w:r>
    </w:p>
    <w:p w:rsidR="00916B54" w:rsidRPr="00916B54" w:rsidRDefault="00916B54"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Parágrafo 3.</w:t>
      </w:r>
      <w:r w:rsidRPr="00916B54">
        <w:rPr>
          <w:rFonts w:ascii="Bookman Old Style" w:eastAsia="Arial Narrow" w:hAnsi="Bookman Old Style" w:cs="Arial Narrow"/>
          <w:kern w:val="2"/>
          <w14:ligatures w14:val="standardContextual"/>
        </w:rPr>
        <w:t xml:space="preserve"> El Plan de Acción para la protección y salvaguarda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b/>
          <w:bCs/>
          <w:kern w:val="2"/>
          <w14:ligatures w14:val="standardContextual"/>
        </w:rPr>
        <w:t xml:space="preserve">, </w:t>
      </w:r>
      <w:r w:rsidRPr="00916B54">
        <w:rPr>
          <w:rFonts w:ascii="Bookman Old Style" w:eastAsia="Arial Narrow" w:hAnsi="Bookman Old Style" w:cs="Arial Narrow"/>
          <w:kern w:val="2"/>
          <w14:ligatures w14:val="standardContextual"/>
        </w:rPr>
        <w:t xml:space="preserve">así como sus eventuales reformas deberán ser remitidos a la Dirección de la Autoridad Nacional de Consulta Previa del Ministerio del Interior para que esta determine si debe realizar la consulta previa, libre e informada con las comunidades étnicas que ejerzan derechos territoriales en la zona biogeográfica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916B54" w:rsidRPr="00916B54" w:rsidRDefault="00916B54" w:rsidP="00E81DF1">
      <w:pPr>
        <w:pStyle w:val="Sinespaciado"/>
        <w:rPr>
          <w:rFonts w:ascii="Bookman Old Style" w:eastAsia="Aptos" w:hAnsi="Bookman Old Style" w:cs="Times New Roman"/>
          <w:b/>
          <w:bCs/>
          <w:kern w:val="2"/>
          <w14:ligatures w14:val="standardContextual"/>
        </w:rPr>
      </w:pPr>
    </w:p>
    <w:p w:rsidR="00E81DF1" w:rsidRPr="00916B54" w:rsidRDefault="00E81DF1" w:rsidP="00E81DF1">
      <w:pPr>
        <w:pStyle w:val="Sinespaciado"/>
        <w:rPr>
          <w:rFonts w:ascii="Bookman Old Style" w:eastAsia="Aptos" w:hAnsi="Bookman Old Style" w:cs="AAAAAD+Calibri"/>
          <w:kern w:val="2"/>
          <w14:ligatures w14:val="standardContextual"/>
        </w:rPr>
      </w:pPr>
      <w:r w:rsidRPr="00916B54">
        <w:rPr>
          <w:rFonts w:ascii="Bookman Old Style" w:eastAsia="Aptos" w:hAnsi="Bookman Old Style" w:cs="Times New Roman"/>
          <w:b/>
          <w:bCs/>
          <w:kern w:val="2"/>
          <w14:ligatures w14:val="standardContextual"/>
        </w:rPr>
        <w:t>Parágrafo 4</w:t>
      </w:r>
      <w:r w:rsidRPr="00916B54">
        <w:rPr>
          <w:rFonts w:ascii="Bookman Old Style" w:eastAsia="Aptos" w:hAnsi="Bookman Old Style" w:cs="Times New Roman"/>
          <w:bCs/>
          <w:kern w:val="2"/>
          <w14:ligatures w14:val="standardContextual"/>
        </w:rPr>
        <w:t xml:space="preserve">. </w:t>
      </w:r>
      <w:r w:rsidRPr="00916B54">
        <w:rPr>
          <w:rFonts w:ascii="Bookman Old Style" w:eastAsia="Aptos" w:hAnsi="Bookman Old Style" w:cs="AAAAAD+Calibri"/>
          <w:kern w:val="2"/>
          <w14:ligatures w14:val="standardContextual"/>
        </w:rPr>
        <w:t xml:space="preserve">El Plan de Acción </w:t>
      </w:r>
      <w:r w:rsidRPr="00916B54">
        <w:rPr>
          <w:rFonts w:ascii="Bookman Old Style" w:eastAsia="Arial Narrow" w:hAnsi="Bookman Old Style" w:cs="Arial Narrow"/>
          <w:kern w:val="2"/>
          <w14:ligatures w14:val="standardContextual"/>
        </w:rPr>
        <w:t xml:space="preserve">para la protección y salvaguarda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ptos" w:hAnsi="Bookman Old Style" w:cs="AAAAAD+Calibri"/>
          <w:kern w:val="2"/>
          <w14:ligatures w14:val="standardContextual"/>
        </w:rPr>
        <w:t xml:space="preserve"> deberá respetar los derechos adquiridos de las actividades y proyectos que se desarrollan en la zona de influencia.</w:t>
      </w:r>
    </w:p>
    <w:p w:rsidR="00E81DF1" w:rsidRPr="00916B54" w:rsidRDefault="00E81DF1" w:rsidP="00E81DF1">
      <w:pPr>
        <w:pStyle w:val="Sinespaciado"/>
        <w:rPr>
          <w:rFonts w:ascii="Bookman Old Style" w:eastAsia="Aptos" w:hAnsi="Bookman Old Style" w:cs="AAAAAD+Calibri"/>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Artículo 4. Mecanismos de funcionamiento y toma de decisiones.</w:t>
      </w:r>
      <w:r w:rsidRPr="00916B54">
        <w:rPr>
          <w:rFonts w:ascii="Bookman Old Style" w:eastAsia="Arial Narrow" w:hAnsi="Bookman Old Style" w:cs="Arial Narrow"/>
          <w:kern w:val="2"/>
          <w14:ligatures w14:val="standardContextual"/>
        </w:rPr>
        <w:t xml:space="preserve"> La Comisión intersectorial de Guardianes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establecerá su propio reglamento regulando su funcionamiento, la toma de decisiones a través de mecanismos democráticos y rendirán un informe semestral a la comunidad sobre las actividades realizadas, para la implementación del Plan de Acción.</w:t>
      </w:r>
    </w:p>
    <w:p w:rsidR="00916B54" w:rsidRPr="00916B54" w:rsidRDefault="00916B54"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La Procuraduría General de la Nación y la Defensoría del Pueblo, en el marco de sus competencias legales y constitucionales, realizarán un proceso de seguimiento permanente al cumplimiento y ejecución del Plan de Acción para la protección y salvaguarda de la </w:t>
      </w:r>
      <w:proofErr w:type="spellStart"/>
      <w:r w:rsidRPr="00916B54">
        <w:rPr>
          <w:rFonts w:ascii="Bookman Old Style" w:eastAsia="Arial Narrow" w:hAnsi="Bookman Old Style" w:cs="Arial Narrow"/>
          <w:kern w:val="2"/>
          <w14:ligatures w14:val="standardContextual"/>
        </w:rPr>
        <w:t>Mojana</w:t>
      </w:r>
      <w:proofErr w:type="spellEnd"/>
      <w:r w:rsidRPr="00916B54">
        <w:rPr>
          <w:rFonts w:ascii="Bookman Old Style" w:eastAsia="Arial Narrow" w:hAnsi="Bookman Old Style" w:cs="Arial Narrow"/>
          <w:kern w:val="2"/>
          <w14:ligatures w14:val="standardContextual"/>
        </w:rPr>
        <w:t xml:space="preserve">. </w:t>
      </w:r>
    </w:p>
    <w:p w:rsidR="00916B54" w:rsidRPr="00916B54" w:rsidRDefault="00916B54"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kern w:val="2"/>
          <w14:ligatures w14:val="standardContextual"/>
        </w:rPr>
        <w:t xml:space="preserve">Estas entidades socializarán un informe anual a la comunidad detallando las actividades de seguimiento, control y los hallazgos realizados. </w:t>
      </w:r>
    </w:p>
    <w:p w:rsidR="00E81DF1" w:rsidRPr="00916B54" w:rsidRDefault="00E81DF1" w:rsidP="00E81DF1">
      <w:pPr>
        <w:pStyle w:val="Sinespaciado"/>
        <w:rPr>
          <w:rFonts w:ascii="Bookman Old Style" w:eastAsia="Arial Narrow" w:hAnsi="Bookman Old Style" w:cs="Arial Narrow"/>
          <w:kern w:val="2"/>
          <w14:ligatures w14:val="standardContextual"/>
        </w:rPr>
      </w:pPr>
    </w:p>
    <w:p w:rsidR="00E81DF1" w:rsidRPr="00916B54" w:rsidRDefault="00E81DF1" w:rsidP="00E81DF1">
      <w:pPr>
        <w:pStyle w:val="Sinespaciado"/>
        <w:rPr>
          <w:rFonts w:ascii="Bookman Old Style" w:eastAsia="Arial Narrow" w:hAnsi="Bookman Old Style" w:cs="Arial Narrow"/>
          <w:kern w:val="2"/>
          <w14:ligatures w14:val="standardContextual"/>
        </w:rPr>
      </w:pPr>
      <w:r w:rsidRPr="00916B54">
        <w:rPr>
          <w:rFonts w:ascii="Bookman Old Style" w:eastAsia="Arial Narrow" w:hAnsi="Bookman Old Style" w:cs="Arial Narrow"/>
          <w:b/>
          <w:bCs/>
          <w:kern w:val="2"/>
          <w14:ligatures w14:val="standardContextual"/>
        </w:rPr>
        <w:t>Artículo 5. Asignaciones presupuestales</w:t>
      </w:r>
      <w:r w:rsidRPr="00916B54">
        <w:rPr>
          <w:rFonts w:ascii="Bookman Old Style" w:eastAsia="Arial Narrow" w:hAnsi="Bookman Old Style" w:cs="Arial Narrow"/>
          <w:kern w:val="2"/>
          <w14:ligatures w14:val="standardContextual"/>
        </w:rPr>
        <w:t>.  Autorizase al Gobierno Nacional, a través de los Ministerio de Ambiente y Desarrollo Sostenible, Ministerio de Agricultura y Desarrollo Rural, Ministerio de Vivienda, Ciudad y Territorio, y Ministerio de Minas y Energía, al igual que a los departamentos de Bolívar, Sucre, Córdoba y Antioquia, así como a sus respectivas Corporaciones Autónomas Regionales para que incluyan en sus presupuestos las apropiaciones correspondientes que permitan cumplir cabalmente con el objeto de la presente Ley.</w:t>
      </w:r>
    </w:p>
    <w:p w:rsidR="00916B54" w:rsidRPr="00916B54" w:rsidRDefault="00916B54" w:rsidP="00E81DF1">
      <w:pPr>
        <w:pStyle w:val="Sinespaciado"/>
        <w:rPr>
          <w:rFonts w:ascii="Bookman Old Style" w:eastAsia="Aptos" w:hAnsi="Bookman Old Style" w:cs="Aptos"/>
          <w:kern w:val="2"/>
          <w14:ligatures w14:val="standardContextual"/>
        </w:rPr>
      </w:pPr>
    </w:p>
    <w:p w:rsidR="00E81DF1" w:rsidRPr="00916B54" w:rsidRDefault="00E81DF1" w:rsidP="00E81DF1">
      <w:pPr>
        <w:pStyle w:val="Sinespaciado"/>
        <w:rPr>
          <w:rFonts w:ascii="Bookman Old Style" w:eastAsia="Aptos" w:hAnsi="Bookman Old Style" w:cs="Aptos"/>
          <w:kern w:val="2"/>
          <w14:ligatures w14:val="standardContextual"/>
        </w:rPr>
      </w:pPr>
      <w:r w:rsidRPr="00916B54">
        <w:rPr>
          <w:rFonts w:ascii="Bookman Old Style" w:eastAsia="Aptos" w:hAnsi="Bookman Old Style" w:cs="Aptos"/>
          <w:kern w:val="2"/>
          <w14:ligatures w14:val="standardContextual"/>
        </w:rPr>
        <w:t>Las entidades responsables deberán incorporar en sus presupuestos y planes de inversión los recursos necesarios que garanticen el cumplimiento de esta ley, los cuales deben ajustarse a las disposiciones del Marco Fiscal de Mediano Plazo y del Marco de Gasto de Mediano Plazo de los respectivos sectores y estar sujetos a las disponibilidades presupuestales vigentes.</w:t>
      </w:r>
    </w:p>
    <w:p w:rsidR="00916B54" w:rsidRPr="00916B54" w:rsidRDefault="00916B54" w:rsidP="00E81DF1">
      <w:pPr>
        <w:pStyle w:val="Sinespaciado"/>
        <w:rPr>
          <w:rFonts w:ascii="Bookman Old Style" w:eastAsia="Arial Narrow" w:hAnsi="Bookman Old Style" w:cs="Arial Narrow"/>
          <w:b/>
          <w:bCs/>
          <w:kern w:val="2"/>
          <w14:ligatures w14:val="standardContextual"/>
        </w:rPr>
      </w:pPr>
    </w:p>
    <w:p w:rsidR="00E81DF1" w:rsidRPr="00916B54" w:rsidRDefault="00E81DF1" w:rsidP="00E81DF1">
      <w:pPr>
        <w:pStyle w:val="Sinespaciado"/>
        <w:rPr>
          <w:rFonts w:ascii="Bookman Old Style" w:eastAsia="Aptos" w:hAnsi="Bookman Old Style" w:cs="Times New Roman"/>
          <w:b/>
          <w:bCs/>
          <w:kern w:val="2"/>
          <w:lang w:val="es-MX"/>
          <w14:ligatures w14:val="standardContextual"/>
        </w:rPr>
      </w:pPr>
      <w:r w:rsidRPr="00916B54">
        <w:rPr>
          <w:rFonts w:ascii="Bookman Old Style" w:eastAsia="Arial Narrow" w:hAnsi="Bookman Old Style" w:cs="Arial Narrow"/>
          <w:b/>
          <w:bCs/>
          <w:kern w:val="2"/>
          <w14:ligatures w14:val="standardContextual"/>
        </w:rPr>
        <w:t>Artículo</w:t>
      </w:r>
      <w:r w:rsidR="00916B54" w:rsidRPr="00916B54">
        <w:rPr>
          <w:rFonts w:ascii="Bookman Old Style" w:eastAsia="Arial Narrow" w:hAnsi="Bookman Old Style" w:cs="Arial Narrow"/>
          <w:b/>
          <w:bCs/>
          <w:kern w:val="2"/>
          <w14:ligatures w14:val="standardContextual"/>
        </w:rPr>
        <w:t xml:space="preserve"> </w:t>
      </w:r>
      <w:r w:rsidRPr="00916B54">
        <w:rPr>
          <w:rFonts w:ascii="Bookman Old Style" w:eastAsia="Arial Narrow" w:hAnsi="Bookman Old Style" w:cs="Arial Narrow"/>
          <w:b/>
          <w:bCs/>
          <w:kern w:val="2"/>
          <w14:ligatures w14:val="standardContextual"/>
        </w:rPr>
        <w:t>6.</w:t>
      </w:r>
      <w:r w:rsidRPr="00916B54">
        <w:rPr>
          <w:rFonts w:ascii="Bookman Old Style" w:eastAsia="Arial Narrow" w:hAnsi="Bookman Old Style" w:cs="Arial Narrow"/>
          <w:kern w:val="2"/>
          <w14:ligatures w14:val="standardContextual"/>
        </w:rPr>
        <w:t xml:space="preserve"> Vigencia y derogaciones. La presente ley rige a partir de la fecha de su promulgación y deroga todas las disposiciones que le sean </w:t>
      </w:r>
    </w:p>
    <w:p w:rsidR="00E81DF1" w:rsidRPr="00916B54" w:rsidRDefault="00E81DF1" w:rsidP="00E81DF1">
      <w:pPr>
        <w:pStyle w:val="Sinespaciado"/>
        <w:rPr>
          <w:rFonts w:ascii="Bookman Old Style" w:eastAsia="Aptos" w:hAnsi="Bookman Old Style" w:cs="Times New Roman"/>
          <w:b/>
          <w:bCs/>
          <w:kern w:val="2"/>
          <w:lang w:val="es-MX"/>
          <w14:ligatures w14:val="standardContextual"/>
        </w:rPr>
      </w:pPr>
    </w:p>
    <w:p w:rsidR="00E81DF1" w:rsidRPr="00916B54" w:rsidRDefault="00E81DF1" w:rsidP="00E81DF1">
      <w:pPr>
        <w:pStyle w:val="Sinespaciado"/>
        <w:rPr>
          <w:rFonts w:ascii="Bookman Old Style" w:eastAsia="Aptos" w:hAnsi="Bookman Old Style" w:cs="Times New Roman"/>
          <w:b/>
          <w:bCs/>
          <w:kern w:val="2"/>
          <w:lang w:val="es-MX"/>
          <w14:ligatures w14:val="standardContextual"/>
        </w:rPr>
      </w:pPr>
    </w:p>
    <w:p w:rsidR="00E81DF1" w:rsidRPr="00916B54" w:rsidRDefault="00E81DF1" w:rsidP="00E81DF1">
      <w:pPr>
        <w:pStyle w:val="Sinespaciado"/>
        <w:rPr>
          <w:rFonts w:ascii="Bookman Old Style" w:eastAsia="Aptos" w:hAnsi="Bookman Old Style" w:cs="Times New Roman"/>
          <w:b/>
          <w:bCs/>
          <w:kern w:val="2"/>
          <w:lang w:val="es-MX"/>
          <w14:ligatures w14:val="standardContextual"/>
        </w:rPr>
      </w:pPr>
      <w:r w:rsidRPr="00916B54">
        <w:rPr>
          <w:rFonts w:ascii="Bookman Old Style" w:eastAsia="Aptos" w:hAnsi="Bookman Old Style" w:cs="Times New Roman"/>
          <w:b/>
          <w:bCs/>
          <w:kern w:val="2"/>
          <w:lang w:val="es-MX"/>
          <w14:ligatures w14:val="standardContextual"/>
        </w:rPr>
        <w:t xml:space="preserve">LUIS RAMIRO </w:t>
      </w:r>
      <w:proofErr w:type="spellStart"/>
      <w:r w:rsidRPr="00916B54">
        <w:rPr>
          <w:rFonts w:ascii="Bookman Old Style" w:eastAsia="Aptos" w:hAnsi="Bookman Old Style" w:cs="Times New Roman"/>
          <w:b/>
          <w:bCs/>
          <w:kern w:val="2"/>
          <w:lang w:val="es-MX"/>
          <w14:ligatures w14:val="standardContextual"/>
        </w:rPr>
        <w:t>RICARO</w:t>
      </w:r>
      <w:proofErr w:type="spellEnd"/>
      <w:r w:rsidRPr="00916B54">
        <w:rPr>
          <w:rFonts w:ascii="Bookman Old Style" w:eastAsia="Aptos" w:hAnsi="Bookman Old Style" w:cs="Times New Roman"/>
          <w:b/>
          <w:bCs/>
          <w:kern w:val="2"/>
          <w:lang w:val="es-MX"/>
          <w14:ligatures w14:val="standardContextual"/>
        </w:rPr>
        <w:t xml:space="preserve"> </w:t>
      </w:r>
      <w:proofErr w:type="spellStart"/>
      <w:r w:rsidRPr="00916B54">
        <w:rPr>
          <w:rFonts w:ascii="Bookman Old Style" w:eastAsia="Aptos" w:hAnsi="Bookman Old Style" w:cs="Times New Roman"/>
          <w:b/>
          <w:bCs/>
          <w:kern w:val="2"/>
          <w:lang w:val="es-MX"/>
          <w14:ligatures w14:val="standardContextual"/>
        </w:rPr>
        <w:t>BUELVAS</w:t>
      </w:r>
      <w:proofErr w:type="spellEnd"/>
      <w:r w:rsidRPr="00916B54">
        <w:rPr>
          <w:rFonts w:ascii="Bookman Old Style" w:eastAsia="Aptos" w:hAnsi="Bookman Old Style" w:cs="Times New Roman"/>
          <w:b/>
          <w:bCs/>
          <w:kern w:val="2"/>
          <w:lang w:val="es-MX"/>
          <w14:ligatures w14:val="standardContextual"/>
        </w:rPr>
        <w:tab/>
      </w:r>
      <w:r w:rsidRPr="00916B54">
        <w:rPr>
          <w:rFonts w:ascii="Bookman Old Style" w:eastAsia="Aptos" w:hAnsi="Bookman Old Style" w:cs="Times New Roman"/>
          <w:b/>
          <w:bCs/>
          <w:kern w:val="2"/>
          <w14:ligatures w14:val="standardContextual"/>
        </w:rPr>
        <w:t xml:space="preserve">ANA </w:t>
      </w:r>
      <w:proofErr w:type="spellStart"/>
      <w:r w:rsidRPr="00916B54">
        <w:rPr>
          <w:rFonts w:ascii="Bookman Old Style" w:eastAsia="Aptos" w:hAnsi="Bookman Old Style" w:cs="Times New Roman"/>
          <w:b/>
          <w:bCs/>
          <w:kern w:val="2"/>
          <w14:ligatures w14:val="standardContextual"/>
        </w:rPr>
        <w:t>ROGELIA</w:t>
      </w:r>
      <w:proofErr w:type="spellEnd"/>
      <w:r w:rsidRPr="00916B54">
        <w:rPr>
          <w:rFonts w:ascii="Bookman Old Style" w:eastAsia="Aptos" w:hAnsi="Bookman Old Style" w:cs="Times New Roman"/>
          <w:b/>
          <w:bCs/>
          <w:kern w:val="2"/>
          <w14:ligatures w14:val="standardContextual"/>
        </w:rPr>
        <w:t xml:space="preserve"> MONSALVE ÁLVAREZ </w:t>
      </w:r>
    </w:p>
    <w:p w:rsidR="00E81DF1" w:rsidRPr="00916B54" w:rsidRDefault="00916B54" w:rsidP="00E81DF1">
      <w:pPr>
        <w:pStyle w:val="Sinespaciado"/>
        <w:rPr>
          <w:rFonts w:ascii="Bookman Old Style" w:eastAsia="Times" w:hAnsi="Bookman Old Style" w:cs="Times"/>
          <w:lang w:val="es-ES"/>
        </w:rPr>
      </w:pPr>
      <w:r w:rsidRPr="00916B54">
        <w:rPr>
          <w:rFonts w:ascii="Bookman Old Style" w:eastAsia="Times" w:hAnsi="Bookman Old Style" w:cs="Times"/>
          <w:lang w:val="es-ES"/>
        </w:rPr>
        <w:t>Ponente Coordinador</w:t>
      </w:r>
      <w:r>
        <w:rPr>
          <w:rFonts w:ascii="Bookman Old Style" w:eastAsia="Times" w:hAnsi="Bookman Old Style" w:cs="Times"/>
          <w:lang w:val="es-ES"/>
        </w:rPr>
        <w:tab/>
      </w:r>
      <w:r>
        <w:rPr>
          <w:rFonts w:ascii="Bookman Old Style" w:eastAsia="Times" w:hAnsi="Bookman Old Style" w:cs="Times"/>
          <w:lang w:val="es-ES"/>
        </w:rPr>
        <w:tab/>
      </w:r>
      <w:r>
        <w:rPr>
          <w:rFonts w:ascii="Bookman Old Style" w:eastAsia="Times" w:hAnsi="Bookman Old Style" w:cs="Times"/>
          <w:lang w:val="es-ES"/>
        </w:rPr>
        <w:tab/>
        <w:t>Ponente</w:t>
      </w:r>
    </w:p>
    <w:p w:rsidR="002812C2" w:rsidRPr="00916B54" w:rsidRDefault="002812C2" w:rsidP="00E81DF1">
      <w:pPr>
        <w:pStyle w:val="Sinespaciado"/>
        <w:rPr>
          <w:rFonts w:ascii="Bookman Old Style" w:eastAsia="Times New Roman" w:hAnsi="Bookman Old Style"/>
          <w:lang w:val="es-419" w:eastAsia="es-ES"/>
        </w:rPr>
      </w:pPr>
    </w:p>
    <w:p w:rsidR="002812C2" w:rsidRPr="00916B54" w:rsidRDefault="002812C2" w:rsidP="00E81DF1">
      <w:pPr>
        <w:pStyle w:val="Sinespaciado"/>
        <w:rPr>
          <w:rFonts w:ascii="Bookman Old Style" w:eastAsia="Times New Roman" w:hAnsi="Bookman Old Style"/>
          <w:lang w:val="es-419" w:eastAsia="es-ES"/>
        </w:rPr>
      </w:pPr>
    </w:p>
    <w:p w:rsidR="002812C2" w:rsidRPr="00916B54" w:rsidRDefault="002812C2" w:rsidP="00E81DF1">
      <w:pPr>
        <w:pStyle w:val="Sinespaciado"/>
        <w:rPr>
          <w:rFonts w:ascii="Bookman Old Style" w:eastAsia="Times New Roman" w:hAnsi="Bookman Old Style"/>
          <w:lang w:val="es-419" w:eastAsia="es-ES"/>
        </w:rPr>
      </w:pPr>
      <w:r w:rsidRPr="00916B54">
        <w:rPr>
          <w:rFonts w:ascii="Bookman Old Style" w:eastAsia="Times New Roman" w:hAnsi="Bookman Old Style"/>
          <w:b/>
          <w:lang w:val="es-419" w:eastAsia="es-ES"/>
        </w:rPr>
        <w:t>JOSÉ OCTAVIO CARDONA LEÓN</w:t>
      </w:r>
    </w:p>
    <w:p w:rsidR="002812C2" w:rsidRPr="00916B54" w:rsidRDefault="002812C2" w:rsidP="00E81DF1">
      <w:pPr>
        <w:pStyle w:val="Sinespaciado"/>
        <w:rPr>
          <w:rFonts w:ascii="Bookman Old Style" w:eastAsia="Times New Roman" w:hAnsi="Bookman Old Style"/>
          <w:lang w:val="es-419" w:eastAsia="es-ES"/>
        </w:rPr>
      </w:pPr>
      <w:r w:rsidRPr="00916B54">
        <w:rPr>
          <w:rFonts w:ascii="Bookman Old Style" w:eastAsia="Times New Roman" w:hAnsi="Bookman Old Style"/>
          <w:lang w:val="es-419" w:eastAsia="es-ES"/>
        </w:rPr>
        <w:t>Presidente Comisión Quinta</w:t>
      </w:r>
    </w:p>
    <w:p w:rsidR="002812C2" w:rsidRPr="00916B54" w:rsidRDefault="002812C2" w:rsidP="00E81DF1">
      <w:pPr>
        <w:pStyle w:val="Sinespaciado"/>
        <w:rPr>
          <w:rFonts w:ascii="Bookman Old Style" w:eastAsia="Times New Roman" w:hAnsi="Bookman Old Style"/>
          <w:lang w:val="es-419" w:eastAsia="es-ES"/>
        </w:rPr>
      </w:pPr>
    </w:p>
    <w:p w:rsidR="0059324D" w:rsidRPr="00916B54" w:rsidRDefault="006969C2" w:rsidP="00E81DF1">
      <w:pPr>
        <w:pStyle w:val="Sinespaciado"/>
        <w:rPr>
          <w:rFonts w:ascii="Bookman Old Style" w:eastAsia="Times New Roman" w:hAnsi="Bookman Old Style"/>
          <w:lang w:val="es-419" w:eastAsia="es-ES"/>
        </w:rPr>
      </w:pPr>
      <w:r w:rsidRPr="00916B54">
        <w:rPr>
          <w:rFonts w:ascii="Bookman Old Style" w:eastAsia="Times New Roman" w:hAnsi="Bookman Old Style"/>
          <w:lang w:val="es-419" w:eastAsia="es-ES"/>
        </w:rPr>
        <w:tab/>
      </w:r>
      <w:r w:rsidR="0059324D" w:rsidRPr="00916B54">
        <w:rPr>
          <w:rFonts w:ascii="Bookman Old Style" w:eastAsia="Times New Roman" w:hAnsi="Bookman Old Style"/>
          <w:lang w:val="es-419" w:eastAsia="es-ES"/>
        </w:rPr>
        <w:t xml:space="preserve">                                            </w:t>
      </w:r>
      <w:r w:rsidR="0059324D" w:rsidRPr="00916B54">
        <w:rPr>
          <w:rFonts w:ascii="Bookman Old Style" w:eastAsia="Times New Roman" w:hAnsi="Bookman Old Style"/>
          <w:lang w:val="es-419" w:eastAsia="es-ES"/>
        </w:rPr>
        <w:tab/>
      </w:r>
      <w:r w:rsidR="0059324D" w:rsidRPr="00916B54">
        <w:rPr>
          <w:rFonts w:ascii="Bookman Old Style" w:eastAsia="Times New Roman" w:hAnsi="Bookman Old Style"/>
          <w:lang w:val="es-419" w:eastAsia="es-ES"/>
        </w:rPr>
        <w:tab/>
      </w:r>
    </w:p>
    <w:p w:rsidR="00FE56A8" w:rsidRPr="00916B54" w:rsidRDefault="00FE56A8" w:rsidP="00E81DF1">
      <w:pPr>
        <w:pStyle w:val="Sinespaciado"/>
        <w:rPr>
          <w:rFonts w:ascii="Bookman Old Style" w:eastAsia="Times New Roman" w:hAnsi="Bookman Old Style"/>
          <w:b/>
          <w:lang w:eastAsia="es-ES"/>
        </w:rPr>
      </w:pPr>
      <w:r w:rsidRPr="00916B54">
        <w:rPr>
          <w:rFonts w:ascii="Bookman Old Style" w:eastAsia="Times New Roman" w:hAnsi="Bookman Old Style"/>
          <w:b/>
          <w:lang w:eastAsia="es-ES"/>
        </w:rPr>
        <w:t>CAMILO ERNESTO ROMERO GALVÁN.</w:t>
      </w:r>
    </w:p>
    <w:p w:rsidR="00FE56A8" w:rsidRPr="00916B54" w:rsidRDefault="00FE56A8" w:rsidP="00E81DF1">
      <w:pPr>
        <w:pStyle w:val="Sinespaciado"/>
        <w:rPr>
          <w:rFonts w:ascii="Bookman Old Style" w:eastAsia="Times New Roman" w:hAnsi="Bookman Old Style"/>
          <w:lang w:eastAsia="es-ES"/>
        </w:rPr>
      </w:pPr>
      <w:r w:rsidRPr="00916B54">
        <w:rPr>
          <w:rFonts w:ascii="Bookman Old Style" w:eastAsia="Times New Roman" w:hAnsi="Bookman Old Style"/>
          <w:lang w:eastAsia="es-ES"/>
        </w:rPr>
        <w:t>Secretario Comisión Quinta</w:t>
      </w:r>
    </w:p>
    <w:p w:rsidR="00FE56A8" w:rsidRPr="00916B54" w:rsidRDefault="00FE56A8" w:rsidP="00E81DF1">
      <w:pPr>
        <w:pStyle w:val="Sinespaciado"/>
        <w:rPr>
          <w:rFonts w:ascii="Bookman Old Style" w:hAnsi="Bookman Old Style"/>
        </w:rPr>
      </w:pPr>
      <w:r w:rsidRPr="00916B54">
        <w:rPr>
          <w:rFonts w:ascii="Bookman Old Style" w:eastAsia="Times New Roman" w:hAnsi="Bookman Old Style"/>
          <w:lang w:eastAsia="es-ES"/>
        </w:rPr>
        <w:t>Cámara de Representantes</w:t>
      </w:r>
      <w:r w:rsidRPr="00916B54">
        <w:rPr>
          <w:rFonts w:ascii="Bookman Old Style" w:hAnsi="Bookman Old Style"/>
        </w:rPr>
        <w:tab/>
      </w:r>
    </w:p>
    <w:p w:rsidR="00FE56A8" w:rsidRPr="00916B54" w:rsidRDefault="00526B28" w:rsidP="00E81DF1">
      <w:pPr>
        <w:pStyle w:val="Sinespaciado"/>
        <w:rPr>
          <w:rFonts w:ascii="Bookman Old Style" w:eastAsia="Times" w:hAnsi="Bookman Old Style" w:cs="Times"/>
        </w:rPr>
      </w:pPr>
      <w:r w:rsidRPr="00916B54">
        <w:rPr>
          <w:rFonts w:ascii="Bookman Old Style" w:eastAsia="Times" w:hAnsi="Bookman Old Style" w:cs="Times"/>
        </w:rPr>
        <w:t xml:space="preserve">   </w:t>
      </w:r>
    </w:p>
    <w:p w:rsidR="006969C2" w:rsidRPr="00916B54" w:rsidRDefault="006969C2" w:rsidP="00E81DF1">
      <w:pPr>
        <w:pStyle w:val="Sinespaciado"/>
        <w:rPr>
          <w:rFonts w:ascii="Bookman Old Style" w:eastAsia="Times" w:hAnsi="Bookman Old Style" w:cs="Times"/>
          <w:bCs/>
        </w:rPr>
      </w:pPr>
      <w:r w:rsidRPr="00916B54">
        <w:rPr>
          <w:rFonts w:ascii="Bookman Old Style" w:eastAsia="Times" w:hAnsi="Bookman Old Style" w:cs="Times"/>
          <w:lang w:val="es"/>
        </w:rPr>
        <w:t xml:space="preserve"> </w:t>
      </w:r>
      <w:r w:rsidRPr="00916B54">
        <w:rPr>
          <w:rFonts w:ascii="Bookman Old Style" w:eastAsia="Times" w:hAnsi="Bookman Old Style" w:cs="Times"/>
          <w:bCs/>
        </w:rPr>
        <w:t>La relación completa de la aprobación en primer debate del Proyecto de Ley consta en el Acta 01</w:t>
      </w:r>
      <w:r w:rsidR="00265888" w:rsidRPr="00916B54">
        <w:rPr>
          <w:rFonts w:ascii="Bookman Old Style" w:eastAsia="Times" w:hAnsi="Bookman Old Style" w:cs="Times"/>
          <w:bCs/>
        </w:rPr>
        <w:t>9</w:t>
      </w:r>
      <w:r w:rsidRPr="00916B54">
        <w:rPr>
          <w:rFonts w:ascii="Bookman Old Style" w:eastAsia="Times" w:hAnsi="Bookman Old Style" w:cs="Times"/>
          <w:bCs/>
        </w:rPr>
        <w:t xml:space="preserve">, correspondiente a la sesión realizada el día </w:t>
      </w:r>
      <w:r w:rsidR="00265888" w:rsidRPr="00916B54">
        <w:rPr>
          <w:rFonts w:ascii="Bookman Old Style" w:eastAsia="Times" w:hAnsi="Bookman Old Style" w:cs="Times"/>
          <w:bCs/>
        </w:rPr>
        <w:t>4</w:t>
      </w:r>
      <w:r w:rsidRPr="00916B54">
        <w:rPr>
          <w:rFonts w:ascii="Bookman Old Style" w:eastAsia="Times" w:hAnsi="Bookman Old Style" w:cs="Times"/>
          <w:bCs/>
        </w:rPr>
        <w:t xml:space="preserve"> de </w:t>
      </w:r>
      <w:r w:rsidR="00B50A9C" w:rsidRPr="00916B54">
        <w:rPr>
          <w:rFonts w:ascii="Bookman Old Style" w:eastAsia="Times" w:hAnsi="Bookman Old Style" w:cs="Times"/>
          <w:bCs/>
        </w:rPr>
        <w:t>diciembre</w:t>
      </w:r>
      <w:r w:rsidRPr="00916B54">
        <w:rPr>
          <w:rFonts w:ascii="Bookman Old Style" w:eastAsia="Times" w:hAnsi="Bookman Old Style" w:cs="Times"/>
          <w:bCs/>
        </w:rPr>
        <w:t xml:space="preserve"> de 2024; el anuncio de la votación del Pr</w:t>
      </w:r>
      <w:r w:rsidR="00E72921" w:rsidRPr="00916B54">
        <w:rPr>
          <w:rFonts w:ascii="Bookman Old Style" w:eastAsia="Times" w:hAnsi="Bookman Old Style" w:cs="Times"/>
          <w:bCs/>
        </w:rPr>
        <w:t xml:space="preserve">oyecto de ley se hizo el día </w:t>
      </w:r>
      <w:r w:rsidR="00265888" w:rsidRPr="00916B54">
        <w:rPr>
          <w:rFonts w:ascii="Bookman Old Style" w:eastAsia="Times" w:hAnsi="Bookman Old Style" w:cs="Times"/>
          <w:bCs/>
        </w:rPr>
        <w:t>3</w:t>
      </w:r>
      <w:r w:rsidRPr="00916B54">
        <w:rPr>
          <w:rFonts w:ascii="Bookman Old Style" w:eastAsia="Times" w:hAnsi="Bookman Old Style" w:cs="Times"/>
          <w:bCs/>
        </w:rPr>
        <w:t xml:space="preserve"> de </w:t>
      </w:r>
      <w:r w:rsidR="00B50A9C" w:rsidRPr="00916B54">
        <w:rPr>
          <w:rFonts w:ascii="Bookman Old Style" w:eastAsia="Times" w:hAnsi="Bookman Old Style" w:cs="Times"/>
          <w:bCs/>
        </w:rPr>
        <w:t>diciembre de 2024, Acta No. 01</w:t>
      </w:r>
      <w:r w:rsidR="00265888" w:rsidRPr="00916B54">
        <w:rPr>
          <w:rFonts w:ascii="Bookman Old Style" w:eastAsia="Times" w:hAnsi="Bookman Old Style" w:cs="Times"/>
          <w:bCs/>
        </w:rPr>
        <w:t>8</w:t>
      </w:r>
      <w:r w:rsidRPr="00916B54">
        <w:rPr>
          <w:rFonts w:ascii="Bookman Old Style" w:eastAsia="Times" w:hAnsi="Bookman Old Style" w:cs="Times"/>
          <w:bCs/>
        </w:rPr>
        <w:t>, de acuerdo con el artículo 8 del Acto Legislativo 1 de 2003.</w:t>
      </w:r>
      <w:r w:rsidRPr="00916B54">
        <w:rPr>
          <w:rFonts w:ascii="Bookman Old Style" w:eastAsia="Times" w:hAnsi="Bookman Old Style" w:cs="Times"/>
        </w:rPr>
        <w:t xml:space="preserve"> </w:t>
      </w:r>
    </w:p>
    <w:sectPr w:rsidR="006969C2" w:rsidRPr="00916B54"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B2" w:rsidRDefault="00BA73B2">
      <w:pPr>
        <w:spacing w:after="0" w:line="240" w:lineRule="auto"/>
      </w:pPr>
      <w:r>
        <w:separator/>
      </w:r>
    </w:p>
  </w:endnote>
  <w:endnote w:type="continuationSeparator" w:id="0">
    <w:p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AAAAD+Calibri">
    <w:altName w:val="Calibri"/>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B2" w:rsidRDefault="00BA73B2">
      <w:pPr>
        <w:spacing w:after="0" w:line="240" w:lineRule="auto"/>
      </w:pPr>
      <w:r>
        <w:separator/>
      </w:r>
    </w:p>
  </w:footnote>
  <w:footnote w:type="continuationSeparator" w:id="0">
    <w:p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6AC1D00F" wp14:editId="2857B042">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E57B7"/>
    <w:multiLevelType w:val="hybridMultilevel"/>
    <w:tmpl w:val="DAAA2EB4"/>
    <w:lvl w:ilvl="0" w:tplc="162AC2BC">
      <w:start w:val="1"/>
      <w:numFmt w:val="decimal"/>
      <w:lvlText w:val="%1."/>
      <w:lvlJc w:val="left"/>
      <w:pPr>
        <w:ind w:left="720" w:hanging="360"/>
      </w:pPr>
    </w:lvl>
    <w:lvl w:ilvl="1" w:tplc="212AA170">
      <w:start w:val="1"/>
      <w:numFmt w:val="lowerLetter"/>
      <w:lvlText w:val="%2."/>
      <w:lvlJc w:val="left"/>
      <w:pPr>
        <w:ind w:left="1440" w:hanging="360"/>
      </w:pPr>
    </w:lvl>
    <w:lvl w:ilvl="2" w:tplc="D12AC29C">
      <w:start w:val="1"/>
      <w:numFmt w:val="lowerRoman"/>
      <w:lvlText w:val="%3."/>
      <w:lvlJc w:val="right"/>
      <w:pPr>
        <w:ind w:left="2160" w:hanging="180"/>
      </w:pPr>
    </w:lvl>
    <w:lvl w:ilvl="3" w:tplc="73CA98EE">
      <w:start w:val="1"/>
      <w:numFmt w:val="decimal"/>
      <w:lvlText w:val="%4."/>
      <w:lvlJc w:val="left"/>
      <w:pPr>
        <w:ind w:left="2880" w:hanging="360"/>
      </w:pPr>
    </w:lvl>
    <w:lvl w:ilvl="4" w:tplc="843C5BE0">
      <w:start w:val="1"/>
      <w:numFmt w:val="lowerLetter"/>
      <w:lvlText w:val="%5."/>
      <w:lvlJc w:val="left"/>
      <w:pPr>
        <w:ind w:left="3600" w:hanging="360"/>
      </w:pPr>
    </w:lvl>
    <w:lvl w:ilvl="5" w:tplc="FED6DD16">
      <w:start w:val="1"/>
      <w:numFmt w:val="lowerRoman"/>
      <w:lvlText w:val="%6."/>
      <w:lvlJc w:val="right"/>
      <w:pPr>
        <w:ind w:left="4320" w:hanging="180"/>
      </w:pPr>
    </w:lvl>
    <w:lvl w:ilvl="6" w:tplc="582036BE">
      <w:start w:val="1"/>
      <w:numFmt w:val="decimal"/>
      <w:lvlText w:val="%7."/>
      <w:lvlJc w:val="left"/>
      <w:pPr>
        <w:ind w:left="5040" w:hanging="360"/>
      </w:pPr>
    </w:lvl>
    <w:lvl w:ilvl="7" w:tplc="7916CB82">
      <w:start w:val="1"/>
      <w:numFmt w:val="lowerLetter"/>
      <w:lvlText w:val="%8."/>
      <w:lvlJc w:val="left"/>
      <w:pPr>
        <w:ind w:left="5760" w:hanging="360"/>
      </w:pPr>
    </w:lvl>
    <w:lvl w:ilvl="8" w:tplc="EFEA95DE">
      <w:start w:val="1"/>
      <w:numFmt w:val="lowerRoman"/>
      <w:lvlText w:val="%9."/>
      <w:lvlJc w:val="right"/>
      <w:pPr>
        <w:ind w:left="6480" w:hanging="180"/>
      </w:pPr>
    </w:lvl>
  </w:abstractNum>
  <w:abstractNum w:abstractNumId="2"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2" w15:restartNumberingAfterBreak="0">
    <w:nsid w:val="60B416CE"/>
    <w:multiLevelType w:val="multilevel"/>
    <w:tmpl w:val="5562E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72" w:hanging="4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4"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9"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6"/>
  </w:num>
  <w:num w:numId="3">
    <w:abstractNumId w:val="2"/>
  </w:num>
  <w:num w:numId="4">
    <w:abstractNumId w:val="0"/>
  </w:num>
  <w:num w:numId="5">
    <w:abstractNumId w:val="27"/>
  </w:num>
  <w:num w:numId="6">
    <w:abstractNumId w:val="23"/>
  </w:num>
  <w:num w:numId="7">
    <w:abstractNumId w:val="7"/>
  </w:num>
  <w:num w:numId="8">
    <w:abstractNumId w:val="10"/>
  </w:num>
  <w:num w:numId="9">
    <w:abstractNumId w:val="32"/>
  </w:num>
  <w:num w:numId="10">
    <w:abstractNumId w:val="18"/>
  </w:num>
  <w:num w:numId="11">
    <w:abstractNumId w:val="14"/>
  </w:num>
  <w:num w:numId="12">
    <w:abstractNumId w:val="24"/>
  </w:num>
  <w:num w:numId="13">
    <w:abstractNumId w:val="3"/>
  </w:num>
  <w:num w:numId="14">
    <w:abstractNumId w:val="20"/>
  </w:num>
  <w:num w:numId="15">
    <w:abstractNumId w:val="12"/>
  </w:num>
  <w:num w:numId="16">
    <w:abstractNumId w:val="17"/>
  </w:num>
  <w:num w:numId="17">
    <w:abstractNumId w:val="26"/>
  </w:num>
  <w:num w:numId="18">
    <w:abstractNumId w:val="25"/>
  </w:num>
  <w:num w:numId="19">
    <w:abstractNumId w:val="30"/>
  </w:num>
  <w:num w:numId="20">
    <w:abstractNumId w:val="19"/>
  </w:num>
  <w:num w:numId="21">
    <w:abstractNumId w:val="13"/>
  </w:num>
  <w:num w:numId="22">
    <w:abstractNumId w:val="15"/>
  </w:num>
  <w:num w:numId="23">
    <w:abstractNumId w:val="31"/>
  </w:num>
  <w:num w:numId="24">
    <w:abstractNumId w:val="4"/>
  </w:num>
  <w:num w:numId="25">
    <w:abstractNumId w:val="8"/>
  </w:num>
  <w:num w:numId="26">
    <w:abstractNumId w:val="28"/>
  </w:num>
  <w:num w:numId="27">
    <w:abstractNumId w:val="21"/>
  </w:num>
  <w:num w:numId="28">
    <w:abstractNumId w:val="9"/>
  </w:num>
  <w:num w:numId="29">
    <w:abstractNumId w:val="5"/>
  </w:num>
  <w:num w:numId="30">
    <w:abstractNumId w:val="16"/>
  </w:num>
  <w:num w:numId="31">
    <w:abstractNumId w:val="11"/>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5"/>
    <w:rsid w:val="00002810"/>
    <w:rsid w:val="00021512"/>
    <w:rsid w:val="00045EA7"/>
    <w:rsid w:val="00081FC7"/>
    <w:rsid w:val="000C7CAD"/>
    <w:rsid w:val="000D69EF"/>
    <w:rsid w:val="00163596"/>
    <w:rsid w:val="00171F51"/>
    <w:rsid w:val="00172FE3"/>
    <w:rsid w:val="001A525D"/>
    <w:rsid w:val="001B2039"/>
    <w:rsid w:val="001C7983"/>
    <w:rsid w:val="001D3BE3"/>
    <w:rsid w:val="002108B0"/>
    <w:rsid w:val="0023403F"/>
    <w:rsid w:val="00265888"/>
    <w:rsid w:val="002731C6"/>
    <w:rsid w:val="002812C2"/>
    <w:rsid w:val="0028184A"/>
    <w:rsid w:val="002952A7"/>
    <w:rsid w:val="00295CC4"/>
    <w:rsid w:val="002A6405"/>
    <w:rsid w:val="002B7882"/>
    <w:rsid w:val="00336491"/>
    <w:rsid w:val="00350EE5"/>
    <w:rsid w:val="0036236F"/>
    <w:rsid w:val="00374B5B"/>
    <w:rsid w:val="00383F76"/>
    <w:rsid w:val="003D4E45"/>
    <w:rsid w:val="003D6953"/>
    <w:rsid w:val="0040168C"/>
    <w:rsid w:val="00424620"/>
    <w:rsid w:val="00454FDD"/>
    <w:rsid w:val="004B5324"/>
    <w:rsid w:val="004F00E9"/>
    <w:rsid w:val="004F5899"/>
    <w:rsid w:val="005035BB"/>
    <w:rsid w:val="005119BB"/>
    <w:rsid w:val="005220B8"/>
    <w:rsid w:val="00526B28"/>
    <w:rsid w:val="00533344"/>
    <w:rsid w:val="00536848"/>
    <w:rsid w:val="0054049A"/>
    <w:rsid w:val="00547CAD"/>
    <w:rsid w:val="0057491E"/>
    <w:rsid w:val="0058523D"/>
    <w:rsid w:val="0059324D"/>
    <w:rsid w:val="005A1210"/>
    <w:rsid w:val="005B500B"/>
    <w:rsid w:val="005E458C"/>
    <w:rsid w:val="005E5A7A"/>
    <w:rsid w:val="0060125A"/>
    <w:rsid w:val="00603E3A"/>
    <w:rsid w:val="006603D8"/>
    <w:rsid w:val="006969C2"/>
    <w:rsid w:val="006C2888"/>
    <w:rsid w:val="006D4358"/>
    <w:rsid w:val="006D43EF"/>
    <w:rsid w:val="006F2B75"/>
    <w:rsid w:val="00701098"/>
    <w:rsid w:val="00734DC7"/>
    <w:rsid w:val="00740E24"/>
    <w:rsid w:val="00745E04"/>
    <w:rsid w:val="00750218"/>
    <w:rsid w:val="00765133"/>
    <w:rsid w:val="00767DD3"/>
    <w:rsid w:val="00782ECA"/>
    <w:rsid w:val="007C11BF"/>
    <w:rsid w:val="007C50A9"/>
    <w:rsid w:val="00817712"/>
    <w:rsid w:val="008243E9"/>
    <w:rsid w:val="00830906"/>
    <w:rsid w:val="00831B75"/>
    <w:rsid w:val="00884B44"/>
    <w:rsid w:val="008912A9"/>
    <w:rsid w:val="008936DF"/>
    <w:rsid w:val="008C14E6"/>
    <w:rsid w:val="008C2C16"/>
    <w:rsid w:val="008F7D6D"/>
    <w:rsid w:val="00916B54"/>
    <w:rsid w:val="00961A1C"/>
    <w:rsid w:val="009A3A04"/>
    <w:rsid w:val="009C186B"/>
    <w:rsid w:val="009C1F6E"/>
    <w:rsid w:val="009D27BD"/>
    <w:rsid w:val="009F0C9D"/>
    <w:rsid w:val="00A07BAC"/>
    <w:rsid w:val="00A37E1C"/>
    <w:rsid w:val="00A4642E"/>
    <w:rsid w:val="00A9229A"/>
    <w:rsid w:val="00AD5C61"/>
    <w:rsid w:val="00AE2004"/>
    <w:rsid w:val="00B077A7"/>
    <w:rsid w:val="00B12C37"/>
    <w:rsid w:val="00B21B1A"/>
    <w:rsid w:val="00B50A9C"/>
    <w:rsid w:val="00B622B1"/>
    <w:rsid w:val="00B951BB"/>
    <w:rsid w:val="00B97BDF"/>
    <w:rsid w:val="00BA274C"/>
    <w:rsid w:val="00BA73B2"/>
    <w:rsid w:val="00BB671D"/>
    <w:rsid w:val="00BC4BAC"/>
    <w:rsid w:val="00BC576A"/>
    <w:rsid w:val="00BC647D"/>
    <w:rsid w:val="00BD2ED1"/>
    <w:rsid w:val="00BD45D7"/>
    <w:rsid w:val="00BE5036"/>
    <w:rsid w:val="00C11EE4"/>
    <w:rsid w:val="00C268D7"/>
    <w:rsid w:val="00C44779"/>
    <w:rsid w:val="00C44A5C"/>
    <w:rsid w:val="00C507C3"/>
    <w:rsid w:val="00C56091"/>
    <w:rsid w:val="00C917AB"/>
    <w:rsid w:val="00C9294C"/>
    <w:rsid w:val="00CB3C28"/>
    <w:rsid w:val="00CF25DF"/>
    <w:rsid w:val="00D021DB"/>
    <w:rsid w:val="00D02E88"/>
    <w:rsid w:val="00D22AA3"/>
    <w:rsid w:val="00D7358B"/>
    <w:rsid w:val="00D93353"/>
    <w:rsid w:val="00DB2DAF"/>
    <w:rsid w:val="00DB42CD"/>
    <w:rsid w:val="00DC41C0"/>
    <w:rsid w:val="00DD68CC"/>
    <w:rsid w:val="00E10559"/>
    <w:rsid w:val="00E52405"/>
    <w:rsid w:val="00E671E1"/>
    <w:rsid w:val="00E72921"/>
    <w:rsid w:val="00E81DF1"/>
    <w:rsid w:val="00EA2D8C"/>
    <w:rsid w:val="00EA4EA3"/>
    <w:rsid w:val="00EA675B"/>
    <w:rsid w:val="00EB77C6"/>
    <w:rsid w:val="00EE5A1A"/>
    <w:rsid w:val="00F25CDC"/>
    <w:rsid w:val="00F42AD9"/>
    <w:rsid w:val="00F61B83"/>
    <w:rsid w:val="00F7218A"/>
    <w:rsid w:val="00F73E78"/>
    <w:rsid w:val="00F7443F"/>
    <w:rsid w:val="00F86506"/>
    <w:rsid w:val="00F9735E"/>
    <w:rsid w:val="00FA2397"/>
    <w:rsid w:val="00FB7C38"/>
    <w:rsid w:val="00FC1C6E"/>
    <w:rsid w:val="00FC20B2"/>
    <w:rsid w:val="00FC5A85"/>
    <w:rsid w:val="00FE56A8"/>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5F8946-A70D-446A-8051-C151BB8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5</cp:revision>
  <cp:lastPrinted>2023-11-30T20:49:00Z</cp:lastPrinted>
  <dcterms:created xsi:type="dcterms:W3CDTF">2024-12-10T16:12:00Z</dcterms:created>
  <dcterms:modified xsi:type="dcterms:W3CDTF">2024-12-11T17:29:00Z</dcterms:modified>
</cp:coreProperties>
</file>